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E4" w:rsidRDefault="007141E4" w:rsidP="004759C1">
      <w:pPr>
        <w:spacing w:after="0" w:line="312" w:lineRule="auto"/>
        <w:rPr>
          <w:rFonts w:ascii="Verdana" w:hAnsi="Verdana" w:cs="Calibri"/>
          <w:b/>
        </w:rPr>
      </w:pPr>
    </w:p>
    <w:p w:rsidR="004759C1" w:rsidRDefault="004759C1" w:rsidP="004759C1">
      <w:pPr>
        <w:spacing w:after="0" w:line="312" w:lineRule="auto"/>
        <w:rPr>
          <w:rFonts w:ascii="Verdana" w:hAnsi="Verdana" w:cs="Calibri"/>
          <w:b/>
        </w:rPr>
      </w:pPr>
      <w:r>
        <w:rPr>
          <w:rFonts w:ascii="Verdana" w:hAnsi="Verdana" w:cs="Calibri"/>
          <w:b/>
        </w:rPr>
        <w:t>Financieel jaarverslag 2021-2022</w:t>
      </w:r>
    </w:p>
    <w:p w:rsidR="004759C1" w:rsidRDefault="004759C1" w:rsidP="004759C1">
      <w:pPr>
        <w:spacing w:after="0" w:line="312" w:lineRule="auto"/>
        <w:rPr>
          <w:rFonts w:ascii="Verdana" w:hAnsi="Verdana" w:cs="Calibri"/>
        </w:rPr>
      </w:pPr>
    </w:p>
    <w:p w:rsidR="004759C1" w:rsidRDefault="004759C1" w:rsidP="004759C1">
      <w:pPr>
        <w:spacing w:after="0" w:line="312" w:lineRule="auto"/>
        <w:rPr>
          <w:rFonts w:ascii="Verdana" w:hAnsi="Verdana"/>
          <w:i/>
        </w:rPr>
      </w:pPr>
      <w:r>
        <w:rPr>
          <w:rFonts w:ascii="Verdana" w:hAnsi="Verdana"/>
          <w:i/>
        </w:rPr>
        <w:t>Staat van baten en lasten</w:t>
      </w:r>
      <w:r>
        <w:rPr>
          <w:rFonts w:ascii="Verdana" w:hAnsi="Verdana"/>
          <w:i/>
        </w:rPr>
        <w:br/>
      </w:r>
    </w:p>
    <w:p w:rsidR="004759C1" w:rsidRDefault="004759C1" w:rsidP="004759C1">
      <w:pPr>
        <w:spacing w:after="0" w:line="312" w:lineRule="auto"/>
        <w:rPr>
          <w:rFonts w:ascii="Verdana" w:hAnsi="Verdana"/>
        </w:rPr>
      </w:pPr>
      <w:r>
        <w:rPr>
          <w:rFonts w:ascii="Verdana" w:hAnsi="Verdana"/>
        </w:rPr>
        <w:t>De afgelopen begrotingsjaren werden afgesloten met een positief saldo van respectievelijk € 6809 en € 12.753. Dit begrotingsjaar sluiten wij af met en fors negatief resultaat van € 74.187. Er was in de begroting voor het afgelopen jaar een verlies begroot van € 55.705.</w:t>
      </w:r>
      <w:r>
        <w:rPr>
          <w:rFonts w:ascii="Verdana" w:hAnsi="Verdana"/>
        </w:rPr>
        <w:br/>
        <w:t xml:space="preserve">Het negatieve resultaat is vooral te wijten aan de volgende factoren:                                                                 - De beleggingen en microkredieten hebben een negatief resultaat opgeleverd van </w:t>
      </w:r>
    </w:p>
    <w:p w:rsidR="004759C1" w:rsidRDefault="004759C1" w:rsidP="004759C1">
      <w:pPr>
        <w:spacing w:after="0" w:line="312" w:lineRule="auto"/>
        <w:rPr>
          <w:rFonts w:ascii="Verdana" w:hAnsi="Verdana"/>
        </w:rPr>
      </w:pPr>
      <w:r>
        <w:rPr>
          <w:rFonts w:ascii="Verdana" w:hAnsi="Verdana"/>
        </w:rPr>
        <w:t>€ 12.898. Geprognotiseerd was een resultaat van € 0.00.</w:t>
      </w:r>
      <w:r>
        <w:rPr>
          <w:rFonts w:ascii="Verdana" w:hAnsi="Verdana"/>
        </w:rPr>
        <w:br/>
        <w:t xml:space="preserve">- De waarde van de inventaris is op advies van de accountant nu gebaseerd op de </w:t>
      </w:r>
      <w:r>
        <w:rPr>
          <w:rFonts w:ascii="Verdana" w:hAnsi="Verdana"/>
        </w:rPr>
        <w:br/>
        <w:t xml:space="preserve">  aanschafwaarde in plaats van op de vervangingswaarde. Ook is de waarde van de geluidsinstallatie die is vervangen in één keer afgeschreven. Dit heeft eenmalig bij de lasten een boekresultaat vaste activa van € 16.027 opgeleverd.                                                                                                </w:t>
      </w:r>
      <w:r>
        <w:rPr>
          <w:rFonts w:ascii="Verdana" w:hAnsi="Verdana"/>
        </w:rPr>
        <w:br/>
        <w:t>- Bij het winterprogramma werd uitgegaan van € 6000 aan inkomsten. De werkelijke opbrengst bedroeg € 3.191. Dit als gevolg van de mindere deelname aan cursussen en het niet doorgaan van enkele activiteiten.</w:t>
      </w:r>
      <w:r>
        <w:rPr>
          <w:rFonts w:ascii="Verdana" w:hAnsi="Verdana"/>
        </w:rPr>
        <w:br/>
        <w:t>- De collecteopbrengst bleef achter bij de begroting omdat de collectes in de vieringen minder opbrachten door lagere bezoekersaantallen. Het verschil bedroeg ruim € 1.500.</w:t>
      </w:r>
    </w:p>
    <w:p w:rsidR="004759C1" w:rsidRDefault="004759C1" w:rsidP="004759C1">
      <w:pPr>
        <w:spacing w:after="0" w:line="312" w:lineRule="auto"/>
        <w:rPr>
          <w:rFonts w:ascii="Verdana" w:hAnsi="Verdana"/>
        </w:rPr>
      </w:pPr>
      <w:r>
        <w:rPr>
          <w:rFonts w:ascii="Verdana" w:hAnsi="Verdana"/>
        </w:rPr>
        <w:t xml:space="preserve">                        </w:t>
      </w:r>
      <w:r>
        <w:rPr>
          <w:rFonts w:ascii="Verdana" w:hAnsi="Verdana"/>
        </w:rPr>
        <w:br/>
        <w:t>- De huurinkomsten vielen lager uit dan gepland door het enige tijd gesloten zijn van de Ontmoeting en mindere verhuur als gevolg van de coronatijd.</w:t>
      </w:r>
      <w:r>
        <w:rPr>
          <w:rFonts w:ascii="Verdana" w:hAnsi="Verdana"/>
        </w:rPr>
        <w:br/>
        <w:t>- Positief aan het resultaat het afgelopen jaar heeft bijgedragen dat onze vereniging een tweetal legaten heeft ontvangen van respectievelijk € 1.500 en € 5.000 en een gift van € 500.</w:t>
      </w:r>
      <w:r>
        <w:rPr>
          <w:rFonts w:ascii="Verdana" w:hAnsi="Verdana"/>
        </w:rPr>
        <w:br/>
        <w:t xml:space="preserve">                                                                                               </w:t>
      </w:r>
    </w:p>
    <w:p w:rsidR="007141E4" w:rsidRDefault="007141E4" w:rsidP="004759C1">
      <w:pPr>
        <w:spacing w:after="0" w:line="312" w:lineRule="auto"/>
        <w:rPr>
          <w:rFonts w:ascii="Verdana" w:hAnsi="Verdana" w:cs="Calibri"/>
          <w:i/>
        </w:rPr>
      </w:pPr>
    </w:p>
    <w:p w:rsidR="007141E4" w:rsidRDefault="007141E4" w:rsidP="004759C1">
      <w:pPr>
        <w:spacing w:after="0" w:line="312" w:lineRule="auto"/>
        <w:rPr>
          <w:rFonts w:ascii="Verdana" w:hAnsi="Verdana" w:cs="Calibri"/>
          <w:i/>
        </w:rPr>
      </w:pPr>
    </w:p>
    <w:p w:rsidR="007141E4" w:rsidRDefault="007141E4" w:rsidP="004759C1">
      <w:pPr>
        <w:spacing w:after="0" w:line="312" w:lineRule="auto"/>
        <w:rPr>
          <w:rFonts w:ascii="Verdana" w:hAnsi="Verdana" w:cs="Calibri"/>
          <w:i/>
        </w:rPr>
      </w:pPr>
    </w:p>
    <w:p w:rsidR="007141E4" w:rsidRDefault="007141E4" w:rsidP="004759C1">
      <w:pPr>
        <w:spacing w:after="0" w:line="312" w:lineRule="auto"/>
        <w:rPr>
          <w:rFonts w:ascii="Verdana" w:hAnsi="Verdana" w:cs="Calibri"/>
          <w:i/>
        </w:rPr>
      </w:pPr>
    </w:p>
    <w:p w:rsidR="007141E4" w:rsidRDefault="007141E4" w:rsidP="004759C1">
      <w:pPr>
        <w:spacing w:after="0" w:line="312" w:lineRule="auto"/>
        <w:rPr>
          <w:rFonts w:ascii="Verdana" w:hAnsi="Verdana" w:cs="Calibri"/>
          <w:i/>
        </w:rPr>
      </w:pPr>
    </w:p>
    <w:p w:rsidR="007141E4" w:rsidRDefault="007141E4" w:rsidP="004759C1">
      <w:pPr>
        <w:spacing w:after="0" w:line="312" w:lineRule="auto"/>
        <w:rPr>
          <w:rFonts w:ascii="Verdana" w:hAnsi="Verdana" w:cs="Calibri"/>
          <w:i/>
        </w:rPr>
      </w:pPr>
    </w:p>
    <w:p w:rsidR="007141E4" w:rsidRDefault="007141E4" w:rsidP="004759C1">
      <w:pPr>
        <w:spacing w:after="0" w:line="312" w:lineRule="auto"/>
        <w:rPr>
          <w:rFonts w:ascii="Verdana" w:hAnsi="Verdana" w:cs="Calibri"/>
          <w:i/>
        </w:rPr>
      </w:pPr>
    </w:p>
    <w:p w:rsidR="007141E4" w:rsidRDefault="007141E4" w:rsidP="004759C1">
      <w:pPr>
        <w:spacing w:after="0" w:line="312" w:lineRule="auto"/>
        <w:rPr>
          <w:rFonts w:ascii="Verdana" w:hAnsi="Verdana" w:cs="Calibri"/>
          <w:i/>
        </w:rPr>
      </w:pPr>
    </w:p>
    <w:p w:rsidR="007141E4" w:rsidRDefault="007141E4" w:rsidP="004759C1">
      <w:pPr>
        <w:spacing w:after="0" w:line="312" w:lineRule="auto"/>
        <w:rPr>
          <w:rFonts w:ascii="Verdana" w:hAnsi="Verdana" w:cs="Calibri"/>
          <w:i/>
        </w:rPr>
      </w:pPr>
    </w:p>
    <w:p w:rsidR="007141E4" w:rsidRDefault="007141E4" w:rsidP="004759C1">
      <w:pPr>
        <w:spacing w:after="0" w:line="312" w:lineRule="auto"/>
        <w:rPr>
          <w:rFonts w:ascii="Verdana" w:hAnsi="Verdana" w:cs="Calibri"/>
          <w:i/>
        </w:rPr>
      </w:pPr>
    </w:p>
    <w:p w:rsidR="004759C1" w:rsidRDefault="004759C1" w:rsidP="004759C1">
      <w:pPr>
        <w:spacing w:after="0" w:line="312" w:lineRule="auto"/>
        <w:rPr>
          <w:rFonts w:ascii="Verdana" w:hAnsi="Verdana" w:cs="Calibri"/>
        </w:rPr>
      </w:pPr>
      <w:r>
        <w:rPr>
          <w:rFonts w:ascii="Verdana" w:hAnsi="Verdana" w:cs="Calibri"/>
          <w:i/>
        </w:rPr>
        <w:t>Balans Winst en Verlies</w:t>
      </w:r>
      <w:r>
        <w:rPr>
          <w:rFonts w:ascii="Verdana" w:hAnsi="Verdana" w:cs="Calibri"/>
        </w:rPr>
        <w:br/>
        <w:t>De ‘activa’ laten zien over welke middelen de vereniging beschikt; de ‘passiva’ laten zien hoe die over een aantal categorieën verdeeld zijn, namelijk ‘eigen vermogen’ (waaronder de algemene reserve en de interne reserves), enkele externe fondsen en de verplichtingen. De voorzieningen/reserves/fondsen zijn in twee groepen verdeeld: ‘intern’ en ‘extern’. De interne reserves maken deel uit van ons vermogen. We kunnen er zelf over beschikken. De externe fondsen maken geen deel uit van ons vermogen. Dit betreft grootboekrekeningen waarop bedragen geboekt worden waarover we niet zelfstandig kunnen beschikken maar alleen samen met samenwerkingspartners zoals fonds café van verdieping.</w:t>
      </w:r>
      <w:r>
        <w:rPr>
          <w:rFonts w:ascii="Verdana" w:hAnsi="Verdana" w:cs="Calibri"/>
        </w:rPr>
        <w:br/>
        <w:t>Zoals elk jaar zijn bedragen bijgeboekt op de reserve voor vervanging inventaris en de voorziening groot onderhoud, volgens een jaarlijks bijgehouden 10-jarenplan voor aanschaf en onderhoud, waarin ook de afschrijvingen worden bijgehouden.</w:t>
      </w:r>
      <w:r>
        <w:rPr>
          <w:rFonts w:ascii="Verdana" w:hAnsi="Verdana" w:cs="Calibri"/>
        </w:rPr>
        <w:br/>
        <w:t>Volgens advies van de geraadpleegde accountant is de systematiek voor het boeken van de waarde van de inventaris en de afschrijvingen aangepast in de materiële vaste activa staat. In het verleden werden de boekwaarde en de afschrijvingen gebaseerd op de vervangingswaarde van de inventaris. In de nieuwe systematiek, die gebruikelijk is bij dit soort rapportages, wordt de waarde van de inventaris en de afschrijving nu gebaseerd op de aanschafwaarde van de inventaris.</w:t>
      </w:r>
      <w:r>
        <w:rPr>
          <w:rFonts w:ascii="Verdana" w:hAnsi="Verdana" w:cs="Calibri"/>
        </w:rPr>
        <w:br/>
        <w:t xml:space="preserve">Onder vorderingen is ook inbegrepen een bedrag van € 1000 aan nog te innen ledenbijdrage. </w:t>
      </w:r>
    </w:p>
    <w:p w:rsidR="004759C1" w:rsidRDefault="004759C1" w:rsidP="004759C1">
      <w:pPr>
        <w:spacing w:after="0" w:line="312" w:lineRule="auto"/>
        <w:rPr>
          <w:rFonts w:ascii="Verdana" w:hAnsi="Verdana" w:cs="Calibri"/>
        </w:rPr>
      </w:pPr>
    </w:p>
    <w:p w:rsidR="004759C1" w:rsidRDefault="004759C1" w:rsidP="004759C1">
      <w:pPr>
        <w:spacing w:after="0" w:line="312" w:lineRule="auto"/>
        <w:rPr>
          <w:rFonts w:ascii="Verdana" w:hAnsi="Verdana" w:cs="Calibri"/>
        </w:rPr>
      </w:pPr>
      <w:r>
        <w:rPr>
          <w:rFonts w:ascii="Verdana" w:hAnsi="Verdana" w:cs="Calibri"/>
        </w:rPr>
        <w:t xml:space="preserve">                                                                                                                                                                               </w:t>
      </w:r>
    </w:p>
    <w:p w:rsidR="004759C1" w:rsidRDefault="004759C1" w:rsidP="004759C1">
      <w:pPr>
        <w:spacing w:after="0" w:line="312" w:lineRule="auto"/>
        <w:rPr>
          <w:rFonts w:ascii="Verdana" w:hAnsi="Verdana"/>
          <w:u w:val="single"/>
        </w:rPr>
      </w:pPr>
    </w:p>
    <w:p w:rsidR="004759C1" w:rsidRDefault="004759C1" w:rsidP="004759C1">
      <w:pPr>
        <w:spacing w:after="0" w:line="312" w:lineRule="auto"/>
        <w:rPr>
          <w:rFonts w:ascii="Verdana" w:hAnsi="Verdana"/>
          <w:u w:val="single"/>
        </w:rPr>
      </w:pPr>
    </w:p>
    <w:p w:rsidR="004759C1" w:rsidRDefault="004759C1" w:rsidP="004759C1">
      <w:pPr>
        <w:spacing w:after="0" w:line="312" w:lineRule="auto"/>
        <w:rPr>
          <w:rFonts w:ascii="Verdana" w:hAnsi="Verdana" w:cs="Calibri"/>
        </w:rPr>
      </w:pPr>
      <w:r>
        <w:rPr>
          <w:rFonts w:ascii="Verdana" w:hAnsi="Verdana" w:cs="Calibri"/>
          <w:color w:val="C00000"/>
        </w:rPr>
        <w:br/>
      </w:r>
    </w:p>
    <w:p w:rsidR="004C32E8" w:rsidRDefault="004C32E8" w:rsidP="004759C1"/>
    <w:sectPr w:rsidR="004C32E8" w:rsidSect="004C32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4759C1"/>
    <w:rsid w:val="004759C1"/>
    <w:rsid w:val="004C32E8"/>
    <w:rsid w:val="00636327"/>
    <w:rsid w:val="007141E4"/>
    <w:rsid w:val="008E7F19"/>
    <w:rsid w:val="00C627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59C1"/>
    <w:rPr>
      <w:rFonts w:ascii="Calibri" w:eastAsia="SimSun" w:hAnsi="Calibri"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9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9C1"/>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3004</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Bierhaus</dc:creator>
  <cp:lastModifiedBy>Esther Bierhaus</cp:lastModifiedBy>
  <cp:revision>2</cp:revision>
  <dcterms:created xsi:type="dcterms:W3CDTF">2022-11-26T14:19:00Z</dcterms:created>
  <dcterms:modified xsi:type="dcterms:W3CDTF">2022-11-26T14:19:00Z</dcterms:modified>
</cp:coreProperties>
</file>